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27"/>
      </w:pPr>
      <w:r>
        <w:rPr/>
        <w:t>Dear EURO2015 Delegates</w:t>
      </w:r>
    </w:p>
    <w:p>
      <w:pPr>
        <w:pStyle w:val="style27"/>
      </w:pPr>
      <w:r>
        <w:rPr/>
      </w:r>
    </w:p>
    <w:p>
      <w:pPr>
        <w:pStyle w:val="style27"/>
      </w:pPr>
      <w:r>
        <w:rPr/>
        <w:t xml:space="preserve">This is the third of our newsletters to keep you up to date on new developments, give you information you need for the conference, and tell you about other interesting things you can do in Glasgow while you are here. </w:t>
      </w:r>
    </w:p>
    <w:p>
      <w:pPr>
        <w:pStyle w:val="style27"/>
      </w:pPr>
      <w:r>
        <w:rPr/>
      </w:r>
    </w:p>
    <w:p>
      <w:pPr>
        <w:pStyle w:val="style27"/>
      </w:pPr>
      <w:r>
        <w:rPr/>
        <w:t>For Shakespeare in the Park, International Paralympic Swimming or Highland Games at Loch Lomond see below, but first the conference information!</w:t>
      </w:r>
    </w:p>
    <w:p>
      <w:pPr>
        <w:pStyle w:val="style0"/>
      </w:pPr>
      <w:bookmarkStart w:id="0" w:name="OLK_SRC_BODY_SECTION"/>
      <w:bookmarkStart w:id="1" w:name="OLK_SRC_BODY_SECTION"/>
      <w:bookmarkEnd w:id="1"/>
      <w:r>
        <w:rPr/>
      </w:r>
    </w:p>
    <w:p>
      <w:pPr>
        <w:pStyle w:val="style0"/>
        <w:spacing w:after="0" w:before="0"/>
      </w:pPr>
      <w:r>
        <w:rPr>
          <w:b/>
          <w:color w:val="000000"/>
        </w:rPr>
        <w:t>Software and Publisher Exhibition</w:t>
      </w:r>
    </w:p>
    <w:p>
      <w:pPr>
        <w:pStyle w:val="style0"/>
        <w:spacing w:after="0" w:before="0"/>
      </w:pPr>
      <w:r>
        <w:rPr>
          <w:color w:val="000000"/>
        </w:rPr>
        <w:t>From Mark Elder, exhibition coordinator: We have our exhibition right in the heart of the conference so you can’t miss us this year, in the Technology and Innovation Centre. To complement the exhibition there is a series of talks so that delegates can get a chance to catch up on the latest technological steps forward provided by the software vendors. One of the publishers is speaking too, and we’ll tell you more about their talk in the next newsletter.</w:t>
      </w:r>
    </w:p>
    <w:p>
      <w:pPr>
        <w:pStyle w:val="style0"/>
        <w:spacing w:after="0" w:before="0"/>
      </w:pPr>
      <w:r>
        <w:rPr/>
      </w:r>
    </w:p>
    <w:p>
      <w:pPr>
        <w:pStyle w:val="style0"/>
        <w:spacing w:after="0" w:before="0"/>
      </w:pPr>
      <w:r>
        <w:rPr>
          <w:b/>
          <w:bCs/>
        </w:rPr>
        <w:t>Making an Impact</w:t>
      </w:r>
      <w:r>
        <w:rPr/>
        <w:br/>
      </w:r>
      <w:r>
        <w:rPr>
          <w:color w:val="990000"/>
        </w:rPr>
        <w:t xml:space="preserve">This year we are making special efforts to attract practitioners to EURO, with the 'Making an Impact' (MAI) streams aimed at helping people become more effective in practising OR or analytics within organisations outside academia?. MAI includes workshops introducing new methods such as agent-based modelling, discussing practical issues such as quality assuring models, and supporting career development; academic-practitioner collaboration sessions; speed networking and mentoring clinics. If you would like to be put on the separate 'MAI' mailing list, to keep up to date with MAI plans, please reply to </w:t>
      </w:r>
      <w:hyperlink r:id="rId2">
        <w:r>
          <w:rPr>
            <w:rStyle w:val="style17"/>
            <w:color w:val="990000"/>
          </w:rPr>
          <w:t>MAI-EURO@theorsociety.com</w:t>
        </w:r>
      </w:hyperlink>
      <w:r>
        <w:rPr>
          <w:color w:val="990000"/>
        </w:rPr>
        <w:t>. And if you know any practitioners who might be interested, please spread the word through this link: euro2015.org/MAI .</w:t>
      </w:r>
    </w:p>
    <w:p>
      <w:pPr>
        <w:pStyle w:val="style27"/>
      </w:pPr>
      <w:r>
        <w:rPr/>
      </w:r>
    </w:p>
    <w:p>
      <w:pPr>
        <w:pStyle w:val="style0"/>
      </w:pPr>
      <w:r>
        <w:rPr>
          <w:rFonts w:eastAsia="Times New Roman"/>
          <w:b/>
          <w:bCs/>
          <w:color w:val="000000"/>
        </w:rPr>
        <w:t>Connecting the PhD community </w:t>
      </w:r>
      <w:r>
        <w:rPr>
          <w:rFonts w:eastAsia="Times New Roman"/>
          <w:b/>
          <w:bCs/>
        </w:rPr>
        <w:t>–</w:t>
      </w:r>
      <w:r>
        <w:rPr>
          <w:rFonts w:eastAsia="Times New Roman"/>
        </w:rPr>
        <w:t> we are looking forward to welcoming over 300 PhD students to EURO2015. We will offer an informal get together event for postgraduate researchers, with the location announced as soon as we have a better idea of interest. If you would like to come along to mix and mingle with your peers, please contact Bernd Wurth (</w:t>
      </w:r>
      <w:hyperlink r:id="rId3">
        <w:r>
          <w:rPr>
            <w:rStyle w:val="style17"/>
            <w:rStyle w:val="style17"/>
            <w:rFonts w:eastAsia="Times New Roman"/>
          </w:rPr>
          <w:t>bernd.wurth@strath.ac.uk</w:t>
        </w:r>
      </w:hyperlink>
      <w:r>
        <w:rPr>
          <w:rFonts w:eastAsia="Times New Roman"/>
        </w:rPr>
        <w:t>).</w:t>
      </w:r>
    </w:p>
    <w:p>
      <w:pPr>
        <w:pStyle w:val="style0"/>
      </w:pPr>
      <w:r>
        <w:rPr>
          <w:rFonts w:eastAsia="Times New Roman"/>
          <w:b/>
          <w:bCs/>
          <w:color w:val="000000"/>
        </w:rPr>
        <w:t>Calling all PhD delegates – </w:t>
      </w:r>
      <w:r>
        <w:rPr>
          <w:rFonts w:eastAsia="Times New Roman"/>
          <w:color w:val="000000"/>
        </w:rPr>
        <w:t>the local Phd community would like to know if you would be interested to participate in a number of activities they are thinking about, including a lunchtime roundtable session at which you could have the opportunity to chat, in small groups, to a number of academics and practitioners at different stages of their careers for hints and tips about jobs, career development, research opportunities, … etc.  This is still an idea at the moment - if you would be interested to participate in such event, or have other ideas for PhD networking activities please email Bernd Wurth (</w:t>
      </w:r>
      <w:hyperlink r:id="rId4">
        <w:r>
          <w:rPr>
            <w:rStyle w:val="style17"/>
            <w:rStyle w:val="style17"/>
            <w:rFonts w:eastAsia="Times New Roman"/>
          </w:rPr>
          <w:t>bernd.wurth@strath.ac.uk</w:t>
        </w:r>
      </w:hyperlink>
      <w:r>
        <w:rPr>
          <w:rFonts w:eastAsia="Times New Roman"/>
          <w:color w:val="000000"/>
        </w:rPr>
        <w:t>).</w:t>
      </w:r>
    </w:p>
    <w:p>
      <w:pPr>
        <w:pStyle w:val="style27"/>
      </w:pPr>
      <w:bookmarkStart w:id="2" w:name="_GoBack"/>
      <w:bookmarkStart w:id="3" w:name="_GoBack"/>
      <w:bookmarkEnd w:id="3"/>
      <w:r>
        <w:rPr/>
      </w:r>
    </w:p>
    <w:p>
      <w:pPr>
        <w:pStyle w:val="style27"/>
      </w:pPr>
      <w:r>
        <w:rPr>
          <w:b/>
          <w:bCs/>
        </w:rPr>
        <w:t>Instructions to speakers</w:t>
      </w:r>
    </w:p>
    <w:p>
      <w:pPr>
        <w:pStyle w:val="style27"/>
      </w:pPr>
      <w:r>
        <w:rPr/>
        <w:t>Most sessions will have four talks, giving 20 minutes to each speaker, and 2-3 minutes for switching presentations. Please time your talk to last about 15-18 minutes, leaving time for audience questions. You can find detailed presentation guidelines and session chair guidelines on the web page.</w:t>
      </w:r>
    </w:p>
    <w:p>
      <w:pPr>
        <w:pStyle w:val="style27"/>
      </w:pPr>
      <w:hyperlink r:id="rId5">
        <w:r>
          <w:rPr>
            <w:rStyle w:val="style17"/>
            <w:rStyle w:val="style17"/>
          </w:rPr>
          <w:t>http://www.euro2015.org/instructions-for-speakers/presentation-guidelines</w:t>
        </w:r>
      </w:hyperlink>
    </w:p>
    <w:p>
      <w:pPr>
        <w:pStyle w:val="style27"/>
      </w:pPr>
      <w:r>
        <w:rPr/>
      </w:r>
    </w:p>
    <w:p>
      <w:pPr>
        <w:pStyle w:val="style27"/>
      </w:pPr>
      <w:r>
        <w:rPr>
          <w:b/>
          <w:bCs/>
        </w:rPr>
        <w:t>AV equipment</w:t>
      </w:r>
    </w:p>
    <w:p>
      <w:pPr>
        <w:pStyle w:val="style27"/>
      </w:pPr>
      <w:r>
        <w:rPr/>
        <w:t xml:space="preserve">All lecture rooms in EURO-2015 will be equipped with a computer projector having </w:t>
      </w:r>
      <w:r>
        <w:rPr>
          <w:b/>
          <w:color w:val="FF0000"/>
        </w:rPr>
        <w:t>only</w:t>
      </w:r>
      <w:r>
        <w:rPr/>
        <w:t xml:space="preserve"> a VGA connection. Bring your own laptop to your session, or pre-arrange with other speakers in your session that at least one of you brings a laptop from which you can project your talks. </w:t>
      </w:r>
      <w:r>
        <w:rPr>
          <w:color w:val="FF0000"/>
        </w:rPr>
        <w:t>If your laptop has HDMI output you must bring your own converter with you.</w:t>
      </w:r>
    </w:p>
    <w:p>
      <w:pPr>
        <w:pStyle w:val="style27"/>
      </w:pPr>
      <w:r>
        <w:rPr/>
        <w:t>You can find an introduction to the audio-visual equipment at the conference web page.</w:t>
      </w:r>
    </w:p>
    <w:p>
      <w:pPr>
        <w:pStyle w:val="style27"/>
      </w:pPr>
      <w:hyperlink r:id="rId6">
        <w:r>
          <w:rPr>
            <w:rStyle w:val="style17"/>
            <w:rStyle w:val="style17"/>
          </w:rPr>
          <w:t>http://www.euro2015.org/instructions-for-speakers/audio-visual-equipment</w:t>
        </w:r>
      </w:hyperlink>
    </w:p>
    <w:p>
      <w:pPr>
        <w:pStyle w:val="style27"/>
      </w:pPr>
      <w:r>
        <w:rPr/>
      </w:r>
    </w:p>
    <w:p>
      <w:pPr>
        <w:pStyle w:val="style27"/>
      </w:pPr>
      <w:r>
        <w:rPr>
          <w:b/>
        </w:rPr>
        <w:t>Electrical equipment</w:t>
      </w:r>
    </w:p>
    <w:p>
      <w:pPr>
        <w:pStyle w:val="style27"/>
      </w:pPr>
      <w:r>
        <w:rPr/>
        <w:t>Remember that a UK 220V plug is different from a EU plug, so please bring an adapter if you come from other countries.</w:t>
      </w:r>
    </w:p>
    <w:p>
      <w:pPr>
        <w:pStyle w:val="style27"/>
      </w:pPr>
      <w:r>
        <w:rPr/>
      </w:r>
    </w:p>
    <w:p>
      <w:pPr>
        <w:pStyle w:val="style27"/>
      </w:pPr>
      <w:r>
        <w:rPr>
          <w:b/>
          <w:bCs/>
        </w:rPr>
        <w:t>What’s On  in Glasgow and around Scotland near the time of EURO2015</w:t>
      </w:r>
    </w:p>
    <w:p>
      <w:pPr>
        <w:pStyle w:val="style1"/>
        <w:numPr>
          <w:ilvl w:val="0"/>
          <w:numId w:val="1"/>
        </w:numPr>
      </w:pPr>
      <w:r>
        <w:rPr>
          <w:rFonts w:ascii="Calibri" w:hAnsi="Calibri"/>
          <w:color w:val="000000"/>
          <w:sz w:val="22"/>
          <w:szCs w:val="22"/>
        </w:rPr>
        <w:t xml:space="preserve">Shakespeare in the Park – </w:t>
      </w:r>
      <w:r>
        <w:rPr>
          <w:rFonts w:ascii="Calibri" w:hAnsi="Calibri"/>
          <w:b w:val="false"/>
          <w:color w:val="000000"/>
          <w:sz w:val="22"/>
          <w:szCs w:val="22"/>
        </w:rPr>
        <w:t>Loves Labour’s Lost will be performed in Glasgow’s Botanic Gardens on the evening of 11 July, and The Merchant of Venice from 16</w:t>
      </w:r>
      <w:r>
        <w:rPr>
          <w:rFonts w:ascii="Calibri" w:hAnsi="Calibri"/>
          <w:b w:val="false"/>
          <w:color w:val="000000"/>
          <w:sz w:val="22"/>
          <w:szCs w:val="22"/>
          <w:vertAlign w:val="superscript"/>
        </w:rPr>
        <w:t>th</w:t>
      </w:r>
      <w:r>
        <w:rPr>
          <w:rFonts w:ascii="Calibri" w:hAnsi="Calibri"/>
          <w:b w:val="false"/>
          <w:color w:val="000000"/>
          <w:sz w:val="22"/>
          <w:szCs w:val="22"/>
        </w:rPr>
        <w:t xml:space="preserve"> July to the end of August. For more information, including tickets, go to www.bardinthebotanics.co.uk.</w:t>
      </w:r>
    </w:p>
    <w:p>
      <w:pPr>
        <w:pStyle w:val="style1"/>
        <w:numPr>
          <w:ilvl w:val="0"/>
          <w:numId w:val="1"/>
        </w:numPr>
      </w:pPr>
      <w:r>
        <w:rPr>
          <w:rFonts w:ascii="Calibri" w:hAnsi="Calibri"/>
          <w:color w:val="000000"/>
          <w:sz w:val="22"/>
          <w:szCs w:val="22"/>
        </w:rPr>
        <w:t xml:space="preserve">The Merchant Square Craft &amp; Design  - </w:t>
      </w:r>
      <w:r>
        <w:rPr>
          <w:rStyle w:val="style18"/>
          <w:rFonts w:ascii="Calibri" w:hAnsi="Calibri"/>
          <w:bCs/>
          <w:color w:val="000000"/>
          <w:sz w:val="22"/>
          <w:szCs w:val="22"/>
        </w:rPr>
        <w:t>is held every weekend, why not spend a relaxing afternoon browsing the stalls and previewing the venue for the Monday evening informal social event.</w:t>
      </w:r>
      <w:r>
        <w:rPr>
          <w:rStyle w:val="style18"/>
          <w:rFonts w:ascii="Calibri" w:hAnsi="Calibri"/>
          <w:bCs/>
          <w:i/>
          <w:color w:val="000000"/>
          <w:sz w:val="22"/>
          <w:szCs w:val="22"/>
        </w:rPr>
        <w:t xml:space="preserve">  </w:t>
      </w:r>
      <w:r>
        <w:rPr>
          <w:rFonts w:ascii="Calibri" w:hAnsi="Calibri"/>
          <w:b w:val="false"/>
          <w:sz w:val="22"/>
          <w:szCs w:val="22"/>
        </w:rPr>
        <w:t>Saturday11am - 6pm and Sunday 12noon - 6pm</w:t>
      </w:r>
    </w:p>
    <w:p>
      <w:pPr>
        <w:pStyle w:val="style28"/>
      </w:pPr>
      <w:r>
        <w:rPr>
          <w:rFonts w:ascii="Calibri" w:hAnsi="Calibri"/>
          <w:b/>
          <w:sz w:val="22"/>
          <w:szCs w:val="22"/>
          <w:lang w:val="en-"/>
        </w:rPr>
        <w:t xml:space="preserve">Highland Games. </w:t>
      </w:r>
      <w:r>
        <w:rPr>
          <w:rFonts w:ascii="Calibri" w:hAnsi="Calibri"/>
          <w:sz w:val="22"/>
          <w:szCs w:val="22"/>
          <w:lang w:val="en-"/>
        </w:rPr>
        <w:t xml:space="preserve">The Loch Lomond Highland Games will take place in Balloch on the Southern Shores of Loch Lomond on Saturday 17 July. Incorporating all things traditionally Scottish, including caber tossing, highland dancing, piping &amp; ;ots of kilts!  There is a train directly from Glasgow.  See </w:t>
      </w:r>
      <w:hyperlink r:id="rId7">
        <w:r>
          <w:rPr>
            <w:rStyle w:val="style17"/>
            <w:rStyle w:val="style17"/>
            <w:rFonts w:ascii="Calibri" w:hAnsi="Calibri"/>
            <w:sz w:val="22"/>
            <w:szCs w:val="22"/>
            <w:lang w:val="en-"/>
          </w:rPr>
          <w:t>http://www.llhgb.com/index.htm</w:t>
        </w:r>
      </w:hyperlink>
      <w:r>
        <w:rPr>
          <w:rFonts w:ascii="Calibri" w:hAnsi="Calibri"/>
          <w:sz w:val="22"/>
          <w:szCs w:val="22"/>
          <w:lang w:val="en-"/>
        </w:rPr>
        <w:t xml:space="preserve"> for details (... and entry forms!)</w:t>
      </w:r>
    </w:p>
    <w:p>
      <w:pPr>
        <w:pStyle w:val="style1"/>
        <w:numPr>
          <w:ilvl w:val="0"/>
          <w:numId w:val="1"/>
        </w:numPr>
      </w:pPr>
      <w:r>
        <w:rPr>
          <w:rFonts w:ascii="Calibri" w:hAnsi="Calibri"/>
          <w:sz w:val="24"/>
          <w:szCs w:val="24"/>
          <w:lang w:val="en-"/>
        </w:rPr>
        <w:t xml:space="preserve">International Paralympic Swimming </w:t>
      </w:r>
      <w:r>
        <w:rPr>
          <w:rFonts w:ascii="Calibri" w:hAnsi="Calibri"/>
          <w:b w:val="false"/>
          <w:sz w:val="24"/>
          <w:szCs w:val="24"/>
          <w:lang w:val="en-"/>
        </w:rPr>
        <w:t>- 2015 World Championships, Tolcross, Glasgow July 13 - July 19.  Tickets are available from www.paralympic.org/glasgow-2015/tickets</w:t>
      </w:r>
    </w:p>
    <w:p>
      <w:pPr>
        <w:pStyle w:val="style1"/>
        <w:numPr>
          <w:ilvl w:val="0"/>
          <w:numId w:val="1"/>
        </w:numPr>
      </w:pPr>
      <w:r>
        <w:rPr>
          <w:rFonts w:ascii="Calibri" w:hAnsi="Calibri"/>
          <w:sz w:val="22"/>
          <w:szCs w:val="22"/>
          <w:lang w:val="en-"/>
        </w:rPr>
        <w:t xml:space="preserve">Golf - The 2015 Open Championship, </w:t>
      </w:r>
      <w:r>
        <w:rPr>
          <w:rFonts w:ascii="Calibri" w:hAnsi="Calibri"/>
          <w:b w:val="false"/>
          <w:sz w:val="22"/>
          <w:szCs w:val="22"/>
          <w:lang w:val="en-"/>
        </w:rPr>
        <w:t>St. Andrews Old Course, Fife,  July 16 - July 19</w:t>
      </w:r>
    </w:p>
    <w:p>
      <w:pPr>
        <w:pStyle w:val="style0"/>
      </w:pPr>
      <w:r>
        <w:rPr>
          <w:rFonts w:cs="Times New Roman" w:eastAsia="Times New Roman"/>
          <w:b/>
          <w:bCs/>
          <w:color w:val="00000A"/>
          <w:sz w:val="24"/>
          <w:szCs w:val="24"/>
          <w:lang w:eastAsia="en-GB" w:val="en-"/>
        </w:rPr>
        <w:t xml:space="preserve">Dance - </w:t>
      </w:r>
      <w:r>
        <w:rPr>
          <w:iCs/>
        </w:rPr>
        <w:t>The Royal Ballet &amp; Rambert Dance Company: Ladysmith Black Mambazo In INALA: A Zulu Ballet</w:t>
      </w:r>
      <w:r>
        <w:rPr>
          <w:b/>
          <w:bCs/>
        </w:rPr>
        <w:t xml:space="preserve"> </w:t>
      </w:r>
      <w:r>
        <w:rPr/>
        <w:t xml:space="preserve">16 Jul 2015 - 18 Jul 2015 </w:t>
      </w:r>
    </w:p>
    <w:p>
      <w:pPr>
        <w:pStyle w:val="style27"/>
      </w:pPr>
      <w:r>
        <w:rPr>
          <w:rStyle w:val="style18"/>
          <w:bCs w:val="false"/>
          <w:iCs/>
        </w:rPr>
        <w:t>Music -</w:t>
      </w:r>
      <w:r>
        <w:rPr>
          <w:rStyle w:val="style18"/>
          <w:b w:val="false"/>
          <w:bCs w:val="false"/>
          <w:i/>
          <w:iCs/>
        </w:rPr>
        <w:t xml:space="preserve"> </w:t>
      </w:r>
      <w:r>
        <w:rPr>
          <w:rStyle w:val="style18"/>
          <w:b w:val="false"/>
          <w:bCs w:val="false"/>
          <w:iCs/>
        </w:rPr>
        <w:t>Edinburgh Jazz &amp; Blues Festival</w:t>
      </w:r>
      <w:r>
        <w:rPr>
          <w:rStyle w:val="style18"/>
        </w:rPr>
        <w:t xml:space="preserve"> </w:t>
      </w:r>
      <w:r>
        <w:rPr>
          <w:rStyle w:val="style18"/>
          <w:b w:val="false"/>
          <w:bCs w:val="false"/>
        </w:rPr>
        <w:t xml:space="preserve">17 Jul 2015 - 26 Jul 2015 </w:t>
      </w:r>
    </w:p>
    <w:p>
      <w:pPr>
        <w:pStyle w:val="style27"/>
      </w:pPr>
      <w:r>
        <w:rPr/>
      </w:r>
    </w:p>
    <w:p>
      <w:pPr>
        <w:pStyle w:val="style27"/>
      </w:pPr>
      <w:r>
        <w:rPr/>
        <w:t>Use the search engine on Visit Scotland to find more things to see and do:</w:t>
      </w:r>
    </w:p>
    <w:p>
      <w:pPr>
        <w:pStyle w:val="style27"/>
      </w:pPr>
      <w:hyperlink r:id="rId8">
        <w:r>
          <w:rPr>
            <w:rStyle w:val="style17"/>
            <w:rStyle w:val="style17"/>
          </w:rPr>
          <w:t>http://www.visitscotland.com/see-do/</w:t>
        </w:r>
      </w:hyperlink>
    </w:p>
    <w:p>
      <w:pPr>
        <w:pStyle w:val="style27"/>
      </w:pPr>
      <w:r>
        <w:rPr/>
      </w:r>
    </w:p>
    <w:p>
      <w:pPr>
        <w:pStyle w:val="style27"/>
      </w:pPr>
      <w:r>
        <w:rPr/>
      </w:r>
    </w:p>
    <w:p>
      <w:pPr>
        <w:pStyle w:val="style27"/>
      </w:pPr>
      <w:r>
        <w:rPr/>
      </w:r>
    </w:p>
    <w:p>
      <w:pPr>
        <w:pStyle w:val="style27"/>
      </w:pPr>
      <w:r>
        <w:rPr/>
        <w:t>Looking forward to see you in Glasgow</w:t>
      </w:r>
    </w:p>
    <w:p>
      <w:pPr>
        <w:pStyle w:val="style27"/>
      </w:pPr>
      <w:r>
        <w:rPr/>
        <w:t>Valerie Belton, Tim Bedford, David Pisinger</w:t>
      </w:r>
    </w:p>
    <w:p>
      <w:pPr>
        <w:pStyle w:val="style27"/>
      </w:pPr>
      <w:r>
        <w:rPr/>
      </w:r>
    </w:p>
    <w:p>
      <w:pPr>
        <w:pStyle w:val="style0"/>
        <w:widowControl/>
        <w:tabs>
          <w:tab w:leader="none" w:pos="720" w:val="left"/>
        </w:tabs>
        <w:suppressAutoHyphens w:val="true"/>
        <w:spacing w:after="160" w:before="0" w:line="252" w:lineRule="auto"/>
      </w:pPr>
      <w:r>
        <w:rPr/>
      </w:r>
    </w:p>
    <w:sectPr>
      <w:type w:val="nextPage"/>
      <w:pgSz w:h="16838" w:w="11906"/>
      <w:pgMar w:bottom="1440" w:footer="0" w:gutter="0" w:header="0" w:left="1440" w:right="1440" w:top="1440"/>
      <w:pgNumType w:fmt="decimal"/>
      <w:formProt w:val="false"/>
      <w:textDirection w:val="lrTb"/>
      <w:docGrid w:charSpace="5734" w:linePitch="360" w:type="default"/>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0"/>
    <w:family w:val="roman"/>
    <w:pitch w:val="variable"/>
  </w:font>
</w:fonts>
</file>

<file path=word/numbering.xml><?xml version="1.0" encoding="utf-8"?>
<w:numbering xmlns:w="http://schemas.openxmlformats.org/wordprocessingml/2006/main">
  <w:abstractNum w:abstractNumId="1">
    <w:lvl w:ilvl="0">
      <w:start w:val="1"/>
      <w:numFmt w:val="none"/>
      <w:suff w:val="nothing"/>
      <w:lvlText w:val=""/>
      <w:lvlJc w:val="left"/>
      <w:pPr>
        <w:tabs>
          <w:tab w:pos="432" w:val="num"/>
        </w:tabs>
        <w:ind w:hanging="432" w:left="432"/>
      </w:pPr>
    </w:lvl>
    <w:lvl w:ilvl="1">
      <w:start w:val="1"/>
      <w:numFmt w:val="none"/>
      <w:suff w:val="nothing"/>
      <w:lvlText w:val=""/>
      <w:lvlJc w:val="left"/>
      <w:pPr>
        <w:tabs>
          <w:tab w:pos="576" w:val="num"/>
        </w:tabs>
        <w:ind w:hanging="576" w:left="576"/>
      </w:pPr>
    </w:lvl>
    <w:lvl w:ilvl="2">
      <w:start w:val="1"/>
      <w:numFmt w:val="none"/>
      <w:suff w:val="nothing"/>
      <w:lvlText w:val=""/>
      <w:lvlJc w:val="left"/>
      <w:pPr>
        <w:tabs>
          <w:tab w:pos="720" w:val="num"/>
        </w:tabs>
        <w:ind w:hanging="720" w:left="720"/>
      </w:pPr>
    </w:lvl>
    <w:lvl w:ilvl="3">
      <w:start w:val="1"/>
      <w:numFmt w:val="none"/>
      <w:suff w:val="nothing"/>
      <w:lvlText w:val=""/>
      <w:lvlJc w:val="left"/>
      <w:pPr>
        <w:tabs>
          <w:tab w:pos="864" w:val="num"/>
        </w:tabs>
        <w:ind w:hanging="864" w:left="864"/>
      </w:pPr>
    </w:lvl>
    <w:lvl w:ilvl="4">
      <w:start w:val="1"/>
      <w:numFmt w:val="none"/>
      <w:suff w:val="nothing"/>
      <w:lvlText w:val=""/>
      <w:lvlJc w:val="left"/>
      <w:pPr>
        <w:tabs>
          <w:tab w:pos="1008" w:val="num"/>
        </w:tabs>
        <w:ind w:hanging="1008" w:left="1008"/>
      </w:pPr>
    </w:lvl>
    <w:lvl w:ilvl="5">
      <w:start w:val="1"/>
      <w:numFmt w:val="none"/>
      <w:suff w:val="nothing"/>
      <w:lvlText w:val=""/>
      <w:lvlJc w:val="left"/>
      <w:pPr>
        <w:tabs>
          <w:tab w:pos="1152" w:val="num"/>
        </w:tabs>
        <w:ind w:hanging="1152" w:left="1152"/>
      </w:pPr>
    </w:lvl>
    <w:lvl w:ilvl="6">
      <w:start w:val="1"/>
      <w:numFmt w:val="none"/>
      <w:suff w:val="nothing"/>
      <w:lvlText w:val=""/>
      <w:lvlJc w:val="left"/>
      <w:pPr>
        <w:tabs>
          <w:tab w:pos="1296" w:val="num"/>
        </w:tabs>
        <w:ind w:hanging="1296" w:left="1296"/>
      </w:pPr>
    </w:lvl>
    <w:lvl w:ilvl="7">
      <w:start w:val="1"/>
      <w:numFmt w:val="none"/>
      <w:suff w:val="nothing"/>
      <w:lvlText w:val=""/>
      <w:lvlJc w:val="left"/>
      <w:pPr>
        <w:tabs>
          <w:tab w:pos="1440" w:val="num"/>
        </w:tabs>
        <w:ind w:hanging="1440" w:left="1440"/>
      </w:pPr>
    </w:lvl>
    <w:lvl w:ilvl="8">
      <w:start w:val="1"/>
      <w:numFmt w:val="none"/>
      <w:suff w:val="nothing"/>
      <w:lvlText w:val=""/>
      <w:lvlJc w:val="left"/>
      <w:pPr>
        <w:tabs>
          <w:tab w:pos="1584" w:val="num"/>
        </w:tabs>
        <w:ind w:hanging="1584" w:left="1584"/>
      </w:pPr>
    </w:lvl>
  </w:abstractNum>
  <w:num w:numId="1">
    <w:abstractNumId w:val="1"/>
  </w:num>
</w:numbering>
</file>

<file path=word/styles.xml><?xml version="1.0" encoding="utf-8"?>
<w:styles xmlns:w="http://schemas.openxmlformats.org/wordprocessingml/2006/main">
  <w:style w:styleId="style0" w:type="paragraph">
    <w:name w:val="Normal"/>
    <w:next w:val="style0"/>
    <w:pPr>
      <w:widowControl/>
      <w:tabs>
        <w:tab w:leader="none" w:pos="720" w:val="left"/>
      </w:tabs>
      <w:suppressAutoHyphens w:val="true"/>
      <w:spacing w:after="160" w:before="0" w:line="252" w:lineRule="auto"/>
    </w:pPr>
    <w:rPr>
      <w:rFonts w:ascii="Calibri" w:cs="Calibri" w:eastAsia="WenQuanYi Micro Hei" w:hAnsi="Calibri"/>
      <w:color w:val="00000A"/>
      <w:sz w:val="22"/>
      <w:szCs w:val="22"/>
      <w:lang w:bidi="ar-SA" w:eastAsia="en-US" w:val="en-GB"/>
    </w:rPr>
  </w:style>
  <w:style w:styleId="style1" w:type="paragraph">
    <w:name w:val="Heading 1"/>
    <w:basedOn w:val="style20"/>
    <w:next w:val="style21"/>
    <w:pPr>
      <w:numPr>
        <w:ilvl w:val="0"/>
        <w:numId w:val="1"/>
      </w:numPr>
      <w:outlineLvl w:val="0"/>
    </w:pPr>
    <w:rPr>
      <w:rFonts w:ascii="Liberation Serif" w:hAnsi="Liberation Serif"/>
      <w:b/>
      <w:bCs/>
      <w:sz w:val="48"/>
      <w:szCs w:val="48"/>
    </w:rPr>
  </w:style>
  <w:style w:styleId="style4" w:type="paragraph">
    <w:name w:val="Heading 4"/>
    <w:basedOn w:val="style0"/>
    <w:next w:val="style21"/>
    <w:pPr>
      <w:keepNext/>
      <w:keepLines/>
      <w:numPr>
        <w:ilvl w:val="3"/>
        <w:numId w:val="1"/>
      </w:numPr>
      <w:spacing w:after="0" w:before="40"/>
      <w:outlineLvl w:val="3"/>
    </w:pPr>
    <w:rPr>
      <w:rFonts w:ascii="Calibri Light" w:cs="" w:hAnsi="Calibri Light"/>
      <w:i/>
      <w:iCs/>
      <w:color w:val="2E74B5"/>
    </w:rPr>
  </w:style>
  <w:style w:styleId="style15" w:type="character">
    <w:name w:val="Default Paragraph Font"/>
    <w:next w:val="style15"/>
    <w:rPr/>
  </w:style>
  <w:style w:styleId="style16" w:type="character">
    <w:name w:val="Plain Text Char"/>
    <w:basedOn w:val="style15"/>
    <w:next w:val="style16"/>
    <w:rPr>
      <w:rFonts w:ascii="Calibri" w:cs="Consolas" w:hAnsi="Calibri"/>
      <w:szCs w:val="21"/>
    </w:rPr>
  </w:style>
  <w:style w:styleId="style17" w:type="character">
    <w:name w:val="Internet Link"/>
    <w:basedOn w:val="style15"/>
    <w:next w:val="style17"/>
    <w:rPr>
      <w:color w:val="0563C1"/>
      <w:u w:val="single"/>
      <w:lang w:bidi="en-US" w:eastAsia="en-US" w:val="en-US"/>
    </w:rPr>
  </w:style>
  <w:style w:styleId="style18" w:type="character">
    <w:name w:val="Strong Emphasis"/>
    <w:basedOn w:val="style15"/>
    <w:next w:val="style18"/>
    <w:rPr>
      <w:b/>
      <w:bCs/>
    </w:rPr>
  </w:style>
  <w:style w:styleId="style19" w:type="character">
    <w:name w:val="Heading 4 Char"/>
    <w:basedOn w:val="style15"/>
    <w:next w:val="style19"/>
    <w:rPr>
      <w:rFonts w:ascii="Calibri Light" w:cs="" w:hAnsi="Calibri Light"/>
      <w:i/>
      <w:iCs/>
      <w:color w:val="2E74B5"/>
      <w:sz w:val="22"/>
      <w:szCs w:val="22"/>
      <w:lang w:bidi="ar-SA" w:eastAsia="en-US" w:val="en-GB"/>
    </w:rPr>
  </w:style>
  <w:style w:styleId="style20" w:type="paragraph">
    <w:name w:val="Heading"/>
    <w:basedOn w:val="style0"/>
    <w:next w:val="style21"/>
    <w:pPr>
      <w:keepNext/>
      <w:spacing w:after="120" w:before="240"/>
    </w:pPr>
    <w:rPr>
      <w:rFonts w:ascii="Liberation Sans" w:cs="Lohit Hindi" w:eastAsia="WenQuanYi Micro Hei" w:hAnsi="Liberation Sans"/>
      <w:sz w:val="28"/>
      <w:szCs w:val="28"/>
    </w:rPr>
  </w:style>
  <w:style w:styleId="style21" w:type="paragraph">
    <w:name w:val="Text body"/>
    <w:basedOn w:val="style0"/>
    <w:next w:val="style21"/>
    <w:pPr>
      <w:spacing w:after="120" w:before="0"/>
    </w:pPr>
    <w:rPr/>
  </w:style>
  <w:style w:styleId="style22" w:type="paragraph">
    <w:name w:val="List"/>
    <w:next w:val="style22"/>
    <w:pPr>
      <w:widowControl w:val="false"/>
      <w:tabs>
        <w:tab w:leader="none" w:pos="709" w:val="left"/>
      </w:tabs>
      <w:suppressAutoHyphens w:val="true"/>
    </w:pPr>
    <w:rPr>
      <w:rFonts w:ascii="Liberation Serif" w:cs="Lohit Hindi" w:eastAsia="WenQuanYi Micro Hei" w:hAnsi="Liberation Serif"/>
      <w:color w:val="auto"/>
      <w:sz w:val="24"/>
      <w:szCs w:val="24"/>
      <w:lang w:bidi="hi-IN" w:eastAsia="zh-CN" w:val="en-US"/>
    </w:rPr>
  </w:style>
  <w:style w:styleId="style23" w:type="paragraph">
    <w:name w:val="Caption"/>
    <w:basedOn w:val="style0"/>
    <w:next w:val="style23"/>
    <w:pPr>
      <w:suppressLineNumbers/>
      <w:spacing w:after="120" w:before="120"/>
    </w:pPr>
    <w:rPr>
      <w:rFonts w:cs="Lohit Hindi"/>
      <w:i/>
      <w:iCs/>
      <w:sz w:val="24"/>
      <w:szCs w:val="24"/>
    </w:rPr>
  </w:style>
  <w:style w:styleId="style24" w:type="paragraph">
    <w:name w:val="Index"/>
    <w:basedOn w:val="style0"/>
    <w:next w:val="style24"/>
    <w:pPr>
      <w:suppressLineNumbers/>
    </w:pPr>
    <w:rPr>
      <w:rFonts w:cs="Lohit Hindi"/>
    </w:rPr>
  </w:style>
  <w:style w:styleId="style25" w:type="paragraph">
    <w:name w:val="Text Body"/>
    <w:basedOn w:val="style0"/>
    <w:next w:val="style25"/>
    <w:pPr>
      <w:spacing w:after="120" w:before="0" w:line="288" w:lineRule="auto"/>
    </w:pPr>
    <w:rPr/>
  </w:style>
  <w:style w:styleId="style26" w:type="paragraph">
    <w:name w:val="caption"/>
    <w:basedOn w:val="style0"/>
    <w:next w:val="style26"/>
    <w:pPr>
      <w:suppressLineNumbers/>
      <w:spacing w:after="120" w:before="120"/>
    </w:pPr>
    <w:rPr>
      <w:rFonts w:cs="Lohit Hindi"/>
      <w:i/>
      <w:iCs/>
      <w:sz w:val="24"/>
      <w:szCs w:val="24"/>
    </w:rPr>
  </w:style>
  <w:style w:styleId="style27" w:type="paragraph">
    <w:name w:val="Plain Text"/>
    <w:basedOn w:val="style0"/>
    <w:next w:val="style27"/>
    <w:pPr>
      <w:spacing w:after="0" w:before="0" w:line="100" w:lineRule="atLeast"/>
    </w:pPr>
    <w:rPr>
      <w:rFonts w:cs="Consolas"/>
      <w:szCs w:val="21"/>
    </w:rPr>
  </w:style>
  <w:style w:styleId="style28" w:type="paragraph">
    <w:name w:val="Normal (Web)"/>
    <w:basedOn w:val="style0"/>
    <w:next w:val="style28"/>
    <w:pPr>
      <w:tabs/>
      <w:suppressAutoHyphens w:val="false"/>
      <w:spacing w:after="28" w:before="28" w:line="100" w:lineRule="atLeast"/>
    </w:pPr>
    <w:rPr>
      <w:rFonts w:ascii="Times New Roman" w:cs="Times New Roman" w:eastAsia="Times New Roman" w:hAnsi="Times New Roman"/>
      <w:color w:val="00000A"/>
      <w:sz w:val="24"/>
      <w:szCs w:val="24"/>
      <w:lang w:eastAsia="en-GB"/>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MAI-EURO@theorsociety.com" TargetMode="External"/><Relationship Id="rId3" Type="http://schemas.openxmlformats.org/officeDocument/2006/relationships/hyperlink" Target="mailto:bernd.wurth@strath.ac.uk" TargetMode="External"/><Relationship Id="rId4" Type="http://schemas.openxmlformats.org/officeDocument/2006/relationships/hyperlink" Target="mailto:bernd.wurth@strath.ac.uk" TargetMode="External"/><Relationship Id="rId5" Type="http://schemas.openxmlformats.org/officeDocument/2006/relationships/hyperlink" Target="http://www.euro2015.org/instructions-for-speakers/presentation-guidelines" TargetMode="External"/><Relationship Id="rId6" Type="http://schemas.openxmlformats.org/officeDocument/2006/relationships/hyperlink" Target="http://www.euro2015.org/instructions-for-speakers/audio-visual-equipment" TargetMode="External"/><Relationship Id="rId7" Type="http://schemas.openxmlformats.org/officeDocument/2006/relationships/hyperlink" Target="http://www.llhgb.com/index.htm" TargetMode="External"/><Relationship Id="rId8" Type="http://schemas.openxmlformats.org/officeDocument/2006/relationships/hyperlink" Target="http://www.visitscotland.com/see-do/" TargetMode="External"/><Relationship Id="rId9" Type="http://schemas.openxmlformats.org/officeDocument/2006/relationships/numbering" Target="numbering.xml"/><Relationship Id="rId10" Type="http://schemas.openxmlformats.org/officeDocument/2006/relationships/fontTable" Target="fontTable.xml"/>
</Relationships>
</file>

<file path=docProps/app.xml><?xml version="1.0" encoding="utf-8"?>
<Properties xmlns="http://schemas.openxmlformats.org/officeDocument/2006/extended-properties" xmlns:vt="http://schemas.openxmlformats.org/officeDocument/2006/docPropsVTypes">
  <Template>Normal.dotm</Template>
  <TotalTime>6</TotalTime>
  <Application>Microsoft Office Word</Applicat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2015-06-04T22:59:00.00Z</dcterms:created>
  <dc:creator>Valerie Belton</dc:creator>
  <dc:language>da</dc:language>
  <cp:lastModifiedBy>Tim Bedford</cp:lastModifiedBy>
  <dcterms:modified xsi:type="dcterms:W3CDTF">2015-06-04T23:04:00.00Z</dcterms:modified>
  <cp:revision>3</cp:revision>
</cp:coreProperties>
</file>